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F2A16" w:rsidR="001F2A16" w:rsidP="001F2A16" w:rsidRDefault="00EB2B50" w14:paraId="7763D726" w14:textId="605CBB87">
      <w:pPr>
        <w:pStyle w:val="Texto0"/>
        <w:spacing w:before="0" w:after="0" w:line="240" w:lineRule="auto"/>
        <w:jc w:val="center"/>
        <w:rPr>
          <w:b/>
          <w:sz w:val="24"/>
        </w:rPr>
      </w:pPr>
      <w:r>
        <w:rPr>
          <w:b/>
          <w:sz w:val="24"/>
        </w:rPr>
        <w:t>Circular E</w:t>
      </w:r>
      <w:r w:rsidRPr="001F2A16" w:rsidR="001F2A16">
        <w:rPr>
          <w:b/>
          <w:sz w:val="24"/>
        </w:rPr>
        <w:t>xterna</w:t>
      </w:r>
    </w:p>
    <w:p w:rsidRPr="002E2B0A" w:rsidR="003554C5" w:rsidP="001F2A16" w:rsidRDefault="002D0E92" w14:paraId="4C41D58C" w14:textId="255B51DB">
      <w:pPr>
        <w:pStyle w:val="Texto0"/>
        <w:spacing w:before="0" w:after="0" w:line="240" w:lineRule="auto"/>
        <w:jc w:val="center"/>
        <w:rPr>
          <w:sz w:val="24"/>
        </w:rPr>
      </w:pPr>
      <w:r>
        <w:rPr>
          <w:sz w:val="24"/>
        </w:rPr>
        <w:t>20</w:t>
      </w:r>
      <w:r w:rsidR="001F2A16">
        <w:rPr>
          <w:sz w:val="24"/>
        </w:rPr>
        <w:t xml:space="preserve"> de setiembre de 2018</w:t>
      </w:r>
    </w:p>
    <w:sdt>
      <w:sdtPr>
        <w:rPr>
          <w:sz w:val="24"/>
        </w:rPr>
        <w:alias w:val="Consecutivo"/>
        <w:tag w:val="Consecutivo"/>
        <w:id w:val="2052717023"/>
        <w:placeholder>
          <w:docPart w:val="A6F550FFBAB940E686741331C814A724"/>
        </w:placeholder>
        <w:text/>
      </w:sdtPr>
      <w:sdtEndPr/>
      <w:sdtContent>
        <w:p w:rsidR="00E0013C" w:rsidP="001F2A16" w:rsidRDefault="00DB7D64" w14:paraId="14AA48BC" w14:textId="77777777">
          <w:pPr>
            <w:tabs>
              <w:tab w:val="left" w:pos="2843"/>
            </w:tabs>
            <w:spacing w:line="240" w:lineRule="auto"/>
            <w:jc w:val="center"/>
            <w:rPr>
              <w:sz w:val="24"/>
            </w:rPr>
          </w:pPr>
          <w:r>
            <w:t>SGF-2901-2018</w:t>
          </w:r>
        </w:p>
      </w:sdtContent>
    </w:sdt>
    <w:p w:rsidR="002A14D5" w:rsidP="001F2A16" w:rsidRDefault="002D0E92" w14:paraId="63B504D9" w14:textId="77777777">
      <w:pPr>
        <w:tabs>
          <w:tab w:val="left" w:pos="2843"/>
        </w:tabs>
        <w:spacing w:line="240" w:lineRule="auto"/>
        <w:jc w:val="center"/>
        <w:rPr>
          <w:sz w:val="24"/>
        </w:rPr>
      </w:pPr>
      <w:sdt>
        <w:sdtPr>
          <w:rPr>
            <w:sz w:val="24"/>
          </w:rPr>
          <w:alias w:val="Confidencialidad"/>
          <w:tag w:val="Confidencialidad"/>
          <w:id w:val="1447896894"/>
          <w:placeholder>
            <w:docPart w:val="60B001D15369416099D0793DC1AF379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F2A16">
            <w:rPr>
              <w:sz w:val="24"/>
            </w:rPr>
            <w:t>SGF-PUBLICO</w:t>
          </w:r>
        </w:sdtContent>
      </w:sdt>
    </w:p>
    <w:p w:rsidRPr="002E2B0A" w:rsidR="003554C5" w:rsidP="00D26EDE" w:rsidRDefault="008F1461" w14:paraId="3287EDA5" w14:textId="77777777">
      <w:pPr>
        <w:tabs>
          <w:tab w:val="left" w:pos="2843"/>
        </w:tabs>
        <w:spacing w:line="240" w:lineRule="auto"/>
        <w:rPr>
          <w:sz w:val="24"/>
        </w:rPr>
      </w:pPr>
      <w:r w:rsidRPr="002E2B0A">
        <w:rPr>
          <w:sz w:val="24"/>
        </w:rPr>
        <w:tab/>
      </w:r>
    </w:p>
    <w:p w:rsidRPr="00EC4C53" w:rsidR="001F2A16" w:rsidP="001F2A16" w:rsidRDefault="001F2A16" w14:paraId="23B4B39A" w14:textId="77777777">
      <w:pPr>
        <w:widowControl w:val="0"/>
        <w:spacing w:line="240" w:lineRule="auto"/>
        <w:ind w:left="34" w:right="86"/>
        <w:rPr>
          <w:b/>
          <w:sz w:val="24"/>
        </w:rPr>
      </w:pPr>
      <w:r w:rsidRPr="00EC4C53">
        <w:rPr>
          <w:b/>
          <w:sz w:val="24"/>
        </w:rPr>
        <w:t>DIRIGIDA A:</w:t>
      </w:r>
    </w:p>
    <w:p w:rsidRPr="00D26B6D" w:rsidR="001F2A16" w:rsidP="001F2A16" w:rsidRDefault="001F2A16" w14:paraId="665ADA8F" w14:textId="77777777">
      <w:pPr>
        <w:pStyle w:val="NormalWeb"/>
        <w:spacing w:before="0" w:beforeAutospacing="0" w:after="0" w:afterAutospacing="0"/>
        <w:jc w:val="both"/>
        <w:rPr>
          <w:rFonts w:ascii="Cambria" w:hAnsi="Cambria"/>
          <w:b/>
          <w:sz w:val="24"/>
          <w:szCs w:val="24"/>
        </w:rPr>
      </w:pPr>
    </w:p>
    <w:p w:rsidRPr="00EC4C53" w:rsidR="001F2A16" w:rsidP="001F2A16" w:rsidRDefault="001F2A16" w14:paraId="467F81F5" w14:textId="77777777">
      <w:pPr>
        <w:widowControl w:val="0"/>
        <w:numPr>
          <w:ilvl w:val="0"/>
          <w:numId w:val="15"/>
        </w:numPr>
        <w:spacing w:after="200" w:line="240" w:lineRule="auto"/>
        <w:ind w:left="567" w:right="86" w:hanging="567"/>
        <w:contextualSpacing/>
        <w:rPr>
          <w:b/>
          <w:sz w:val="24"/>
          <w:lang w:eastAsia="es-ES"/>
        </w:rPr>
      </w:pPr>
      <w:r w:rsidRPr="00EC4C53">
        <w:rPr>
          <w:b/>
          <w:sz w:val="24"/>
          <w:lang w:eastAsia="es-ES"/>
        </w:rPr>
        <w:t>CASAS DE CAMBIO</w:t>
      </w:r>
    </w:p>
    <w:p w:rsidRPr="00D26B6D" w:rsidR="001F2A16" w:rsidP="001F2A16" w:rsidRDefault="001F2A16" w14:paraId="24A95DF6" w14:textId="77777777">
      <w:pPr>
        <w:pStyle w:val="NormalWeb"/>
        <w:spacing w:before="0" w:beforeAutospacing="0" w:after="0" w:afterAutospacing="0"/>
        <w:jc w:val="both"/>
        <w:rPr>
          <w:rFonts w:ascii="Cambria" w:hAnsi="Cambria"/>
          <w:sz w:val="24"/>
          <w:szCs w:val="24"/>
        </w:rPr>
      </w:pPr>
      <w:r w:rsidRPr="00D26B6D">
        <w:rPr>
          <w:rFonts w:ascii="Cambria" w:hAnsi="Cambria"/>
          <w:b/>
          <w:sz w:val="24"/>
          <w:szCs w:val="24"/>
        </w:rPr>
        <w:t>Asunto:</w:t>
      </w:r>
      <w:r w:rsidRPr="00D26B6D">
        <w:rPr>
          <w:rFonts w:ascii="Cambria" w:hAnsi="Cambria"/>
          <w:sz w:val="24"/>
          <w:szCs w:val="24"/>
        </w:rPr>
        <w:t xml:space="preserve"> </w:t>
      </w:r>
      <w:r>
        <w:rPr>
          <w:rFonts w:ascii="Cambria" w:hAnsi="Cambria"/>
          <w:sz w:val="24"/>
          <w:szCs w:val="24"/>
        </w:rPr>
        <w:t xml:space="preserve">Cálculo del capital base para efectos del </w:t>
      </w:r>
      <w:r w:rsidRPr="0046637C">
        <w:rPr>
          <w:rFonts w:ascii="Cambria" w:hAnsi="Cambria"/>
          <w:i/>
          <w:sz w:val="24"/>
          <w:szCs w:val="24"/>
        </w:rPr>
        <w:t>Reglamento para las operaciones cambiarias de contado</w:t>
      </w:r>
      <w:r>
        <w:rPr>
          <w:rFonts w:ascii="Cambria" w:hAnsi="Cambria"/>
          <w:sz w:val="24"/>
          <w:szCs w:val="24"/>
        </w:rPr>
        <w:t xml:space="preserve"> del Banco Central de Costa Rica</w:t>
      </w:r>
      <w:r w:rsidRPr="0046637C">
        <w:rPr>
          <w:rFonts w:ascii="Cambria" w:hAnsi="Cambria"/>
          <w:sz w:val="24"/>
          <w:szCs w:val="24"/>
        </w:rPr>
        <w:t>.</w:t>
      </w:r>
    </w:p>
    <w:p w:rsidRPr="00D26B6D" w:rsidR="001F2A16" w:rsidP="001F2A16" w:rsidRDefault="001F2A16" w14:paraId="10866490" w14:textId="77777777">
      <w:pPr>
        <w:pStyle w:val="NormalWeb"/>
        <w:spacing w:before="0" w:beforeAutospacing="0" w:after="0" w:afterAutospacing="0"/>
        <w:jc w:val="both"/>
        <w:rPr>
          <w:rFonts w:ascii="Cambria" w:hAnsi="Cambria"/>
          <w:sz w:val="24"/>
          <w:szCs w:val="24"/>
        </w:rPr>
      </w:pPr>
    </w:p>
    <w:p w:rsidRPr="00D26B6D" w:rsidR="001F2A16" w:rsidP="001F2A16" w:rsidRDefault="001F2A16" w14:paraId="0ECC92A6" w14:textId="77777777">
      <w:pPr>
        <w:pStyle w:val="NormalWeb"/>
        <w:spacing w:before="0" w:beforeAutospacing="0" w:after="0" w:afterAutospacing="0"/>
        <w:jc w:val="both"/>
        <w:rPr>
          <w:rFonts w:ascii="Cambria" w:hAnsi="Cambria"/>
          <w:b/>
          <w:sz w:val="24"/>
          <w:szCs w:val="24"/>
        </w:rPr>
      </w:pPr>
      <w:r>
        <w:rPr>
          <w:rFonts w:ascii="Cambria" w:hAnsi="Cambria"/>
          <w:b/>
          <w:sz w:val="24"/>
          <w:szCs w:val="24"/>
        </w:rPr>
        <w:t>El</w:t>
      </w:r>
      <w:r w:rsidRPr="00D26B6D">
        <w:rPr>
          <w:rFonts w:ascii="Cambria" w:hAnsi="Cambria"/>
          <w:b/>
          <w:sz w:val="24"/>
          <w:szCs w:val="24"/>
        </w:rPr>
        <w:t xml:space="preserve"> Superintendente Gener</w:t>
      </w:r>
      <w:r>
        <w:rPr>
          <w:rFonts w:ascii="Cambria" w:hAnsi="Cambria"/>
          <w:b/>
          <w:sz w:val="24"/>
          <w:szCs w:val="24"/>
        </w:rPr>
        <w:t>al de Entidades Financieras</w:t>
      </w:r>
      <w:r w:rsidRPr="00D26B6D">
        <w:rPr>
          <w:rFonts w:ascii="Cambria" w:hAnsi="Cambria"/>
          <w:b/>
          <w:sz w:val="24"/>
          <w:szCs w:val="24"/>
        </w:rPr>
        <w:t>,</w:t>
      </w:r>
    </w:p>
    <w:p w:rsidRPr="00D26B6D" w:rsidR="001F2A16" w:rsidP="001F2A16" w:rsidRDefault="001F2A16" w14:paraId="5922B5D5" w14:textId="77777777">
      <w:pPr>
        <w:pStyle w:val="NormalWeb"/>
        <w:spacing w:before="0" w:beforeAutospacing="0" w:after="0" w:afterAutospacing="0"/>
        <w:jc w:val="both"/>
        <w:rPr>
          <w:rFonts w:ascii="Cambria" w:hAnsi="Cambria"/>
          <w:sz w:val="24"/>
          <w:szCs w:val="24"/>
        </w:rPr>
      </w:pPr>
    </w:p>
    <w:p w:rsidRPr="00D26B6D" w:rsidR="001F2A16" w:rsidP="001F2A16" w:rsidRDefault="001F2A16" w14:paraId="23A689D1" w14:textId="77777777">
      <w:pPr>
        <w:pStyle w:val="NormalWeb"/>
        <w:spacing w:before="0" w:beforeAutospacing="0" w:after="0" w:afterAutospacing="0"/>
        <w:jc w:val="both"/>
        <w:rPr>
          <w:rFonts w:ascii="Cambria" w:hAnsi="Cambria"/>
          <w:sz w:val="24"/>
          <w:szCs w:val="24"/>
        </w:rPr>
      </w:pPr>
      <w:r w:rsidRPr="00D26B6D">
        <w:rPr>
          <w:rFonts w:ascii="Cambria" w:hAnsi="Cambria"/>
          <w:b/>
          <w:bCs/>
          <w:sz w:val="24"/>
          <w:szCs w:val="24"/>
        </w:rPr>
        <w:t>Considerando que:</w:t>
      </w:r>
    </w:p>
    <w:p w:rsidRPr="00D26B6D" w:rsidR="001F2A16" w:rsidP="001F2A16" w:rsidRDefault="001F2A16" w14:paraId="4701DDCF" w14:textId="77777777">
      <w:pPr>
        <w:pStyle w:val="NormalWeb"/>
        <w:spacing w:before="0" w:beforeAutospacing="0" w:after="0" w:afterAutospacing="0"/>
        <w:contextualSpacing/>
        <w:jc w:val="both"/>
        <w:rPr>
          <w:rFonts w:ascii="Cambria" w:hAnsi="Cambria"/>
          <w:sz w:val="24"/>
          <w:szCs w:val="24"/>
        </w:rPr>
      </w:pPr>
    </w:p>
    <w:p w:rsidR="001F2A16" w:rsidP="001F2A16" w:rsidRDefault="001F2A16" w14:paraId="2DA72199" w14:textId="77777777">
      <w:pPr>
        <w:pStyle w:val="NormalWeb"/>
        <w:numPr>
          <w:ilvl w:val="0"/>
          <w:numId w:val="13"/>
        </w:numPr>
        <w:spacing w:after="0"/>
        <w:contextualSpacing/>
        <w:jc w:val="both"/>
        <w:rPr>
          <w:rFonts w:ascii="Cambria" w:hAnsi="Cambria"/>
          <w:sz w:val="24"/>
          <w:szCs w:val="24"/>
        </w:rPr>
      </w:pPr>
      <w:r>
        <w:rPr>
          <w:rFonts w:ascii="Cambria" w:hAnsi="Cambria"/>
          <w:sz w:val="24"/>
          <w:szCs w:val="24"/>
        </w:rPr>
        <w:t xml:space="preserve">La Junta Directiva del Banco Central de Costa Rica mediante </w:t>
      </w:r>
      <w:r w:rsidRPr="00F1670C">
        <w:rPr>
          <w:rFonts w:ascii="Cambria" w:hAnsi="Cambria"/>
          <w:sz w:val="24"/>
          <w:szCs w:val="24"/>
        </w:rPr>
        <w:t xml:space="preserve">numeral </w:t>
      </w:r>
      <w:r>
        <w:rPr>
          <w:rFonts w:ascii="Cambria" w:hAnsi="Cambria"/>
          <w:sz w:val="24"/>
          <w:szCs w:val="24"/>
        </w:rPr>
        <w:t>II</w:t>
      </w:r>
      <w:r w:rsidRPr="00F1670C">
        <w:rPr>
          <w:rFonts w:ascii="Cambria" w:hAnsi="Cambria"/>
          <w:sz w:val="24"/>
          <w:szCs w:val="24"/>
        </w:rPr>
        <w:t>, artículo 6, del acta de la sesión 5293-2006, celebrada el 30 de</w:t>
      </w:r>
      <w:r>
        <w:rPr>
          <w:rFonts w:ascii="Cambria" w:hAnsi="Cambria"/>
          <w:sz w:val="24"/>
          <w:szCs w:val="24"/>
        </w:rPr>
        <w:t xml:space="preserve"> </w:t>
      </w:r>
      <w:r w:rsidRPr="00F1670C">
        <w:rPr>
          <w:rFonts w:ascii="Cambria" w:hAnsi="Cambria"/>
          <w:sz w:val="24"/>
          <w:szCs w:val="24"/>
        </w:rPr>
        <w:t>agosto del 20</w:t>
      </w:r>
      <w:r>
        <w:rPr>
          <w:rFonts w:ascii="Cambria" w:hAnsi="Cambria"/>
          <w:sz w:val="24"/>
          <w:szCs w:val="24"/>
        </w:rPr>
        <w:t xml:space="preserve">06, aprobó el </w:t>
      </w:r>
      <w:r w:rsidRPr="00F1670C">
        <w:rPr>
          <w:rFonts w:ascii="Cambria" w:hAnsi="Cambria"/>
          <w:i/>
          <w:sz w:val="24"/>
          <w:szCs w:val="24"/>
        </w:rPr>
        <w:t xml:space="preserve">Reglamento para las operaciones </w:t>
      </w:r>
      <w:r>
        <w:rPr>
          <w:rFonts w:ascii="Cambria" w:hAnsi="Cambria"/>
          <w:i/>
          <w:sz w:val="24"/>
          <w:szCs w:val="24"/>
        </w:rPr>
        <w:t>cambiarias de contado.</w:t>
      </w:r>
      <w:r w:rsidRPr="00F1670C">
        <w:rPr>
          <w:rFonts w:ascii="Cambria" w:hAnsi="Cambria"/>
          <w:sz w:val="24"/>
          <w:szCs w:val="24"/>
        </w:rPr>
        <w:t xml:space="preserve"> Publicado en el </w:t>
      </w:r>
      <w:r>
        <w:rPr>
          <w:rFonts w:ascii="Cambria" w:hAnsi="Cambria"/>
          <w:sz w:val="24"/>
          <w:szCs w:val="24"/>
        </w:rPr>
        <w:t>D</w:t>
      </w:r>
      <w:r w:rsidRPr="00F1670C">
        <w:rPr>
          <w:rFonts w:ascii="Cambria" w:hAnsi="Cambria"/>
          <w:sz w:val="24"/>
          <w:szCs w:val="24"/>
        </w:rPr>
        <w:t xml:space="preserve">iario </w:t>
      </w:r>
      <w:r>
        <w:rPr>
          <w:rFonts w:ascii="Cambria" w:hAnsi="Cambria"/>
          <w:sz w:val="24"/>
          <w:szCs w:val="24"/>
        </w:rPr>
        <w:t>Oficial L</w:t>
      </w:r>
      <w:r w:rsidRPr="00F1670C">
        <w:rPr>
          <w:rFonts w:ascii="Cambria" w:hAnsi="Cambria"/>
          <w:sz w:val="24"/>
          <w:szCs w:val="24"/>
        </w:rPr>
        <w:t xml:space="preserve">a </w:t>
      </w:r>
      <w:r>
        <w:rPr>
          <w:rFonts w:ascii="Cambria" w:hAnsi="Cambria"/>
          <w:sz w:val="24"/>
          <w:szCs w:val="24"/>
        </w:rPr>
        <w:t>Gaceta N° 179</w:t>
      </w:r>
      <w:r w:rsidRPr="00F1670C">
        <w:rPr>
          <w:rFonts w:ascii="Cambria" w:hAnsi="Cambria"/>
          <w:sz w:val="24"/>
          <w:szCs w:val="24"/>
        </w:rPr>
        <w:t xml:space="preserve"> del 19 de setiembre del 2006.</w:t>
      </w:r>
    </w:p>
    <w:p w:rsidR="001F2A16" w:rsidP="001F2A16" w:rsidRDefault="001F2A16" w14:paraId="7FC0A46C" w14:textId="77777777">
      <w:pPr>
        <w:pStyle w:val="NormalWeb"/>
        <w:spacing w:after="0"/>
        <w:ind w:left="360"/>
        <w:contextualSpacing/>
        <w:jc w:val="both"/>
        <w:rPr>
          <w:rFonts w:ascii="Cambria" w:hAnsi="Cambria"/>
          <w:sz w:val="24"/>
          <w:szCs w:val="24"/>
        </w:rPr>
      </w:pPr>
      <w:bookmarkStart w:name="_GoBack" w:id="0"/>
      <w:bookmarkEnd w:id="0"/>
    </w:p>
    <w:p w:rsidRPr="001A3A0C" w:rsidR="001F2A16" w:rsidP="001F2A16" w:rsidRDefault="001F2A16" w14:paraId="1C70CC22" w14:textId="77777777">
      <w:pPr>
        <w:pStyle w:val="NormalWeb"/>
        <w:numPr>
          <w:ilvl w:val="0"/>
          <w:numId w:val="13"/>
        </w:numPr>
        <w:spacing w:after="0"/>
        <w:contextualSpacing/>
        <w:jc w:val="both"/>
        <w:rPr>
          <w:rFonts w:ascii="Cambria" w:hAnsi="Cambria"/>
          <w:sz w:val="24"/>
          <w:szCs w:val="24"/>
        </w:rPr>
      </w:pPr>
      <w:r>
        <w:rPr>
          <w:rFonts w:ascii="Cambria" w:hAnsi="Cambria"/>
          <w:sz w:val="24"/>
          <w:szCs w:val="24"/>
        </w:rPr>
        <w:t>E</w:t>
      </w:r>
      <w:r w:rsidRPr="00C10E81">
        <w:rPr>
          <w:rFonts w:ascii="Cambria" w:hAnsi="Cambria"/>
          <w:sz w:val="24"/>
          <w:szCs w:val="24"/>
        </w:rPr>
        <w:t>l Consejo Nacional de Supervisión del</w:t>
      </w:r>
      <w:r>
        <w:rPr>
          <w:rFonts w:ascii="Cambria" w:hAnsi="Cambria"/>
          <w:sz w:val="24"/>
          <w:szCs w:val="24"/>
        </w:rPr>
        <w:t xml:space="preserve"> Sistema Financiero, mediante</w:t>
      </w:r>
      <w:r w:rsidRPr="00C10E81">
        <w:rPr>
          <w:rFonts w:ascii="Cambria" w:hAnsi="Cambria"/>
          <w:sz w:val="24"/>
          <w:szCs w:val="24"/>
        </w:rPr>
        <w:t xml:space="preserve"> </w:t>
      </w:r>
      <w:r>
        <w:rPr>
          <w:rFonts w:ascii="Cambria" w:hAnsi="Cambria"/>
          <w:sz w:val="24"/>
          <w:szCs w:val="24"/>
        </w:rPr>
        <w:t>a</w:t>
      </w:r>
      <w:r w:rsidRPr="00C10E81">
        <w:rPr>
          <w:rFonts w:ascii="Cambria" w:hAnsi="Cambria"/>
          <w:sz w:val="24"/>
          <w:szCs w:val="24"/>
        </w:rPr>
        <w:t>rtículo 14 de</w:t>
      </w:r>
      <w:r>
        <w:rPr>
          <w:rFonts w:ascii="Cambria" w:hAnsi="Cambria"/>
          <w:sz w:val="24"/>
          <w:szCs w:val="24"/>
        </w:rPr>
        <w:t>l acta de la</w:t>
      </w:r>
      <w:r w:rsidRPr="00C10E81">
        <w:rPr>
          <w:rFonts w:ascii="Cambria" w:hAnsi="Cambria"/>
          <w:sz w:val="24"/>
          <w:szCs w:val="24"/>
        </w:rPr>
        <w:t xml:space="preserve"> </w:t>
      </w:r>
      <w:r>
        <w:rPr>
          <w:rFonts w:ascii="Cambria" w:hAnsi="Cambria"/>
          <w:sz w:val="24"/>
          <w:szCs w:val="24"/>
        </w:rPr>
        <w:t>s</w:t>
      </w:r>
      <w:r w:rsidRPr="00C10E81">
        <w:rPr>
          <w:rFonts w:ascii="Cambria" w:hAnsi="Cambria"/>
          <w:sz w:val="24"/>
          <w:szCs w:val="24"/>
        </w:rPr>
        <w:t xml:space="preserve">esión 547 del 5 de enero del 2006 aprobó el </w:t>
      </w:r>
      <w:r w:rsidRPr="00C10E81">
        <w:rPr>
          <w:rFonts w:ascii="Cambria" w:hAnsi="Cambria"/>
          <w:i/>
          <w:sz w:val="24"/>
          <w:szCs w:val="24"/>
        </w:rPr>
        <w:t>Reglamento sobre la Suficiencia Patrimonial de Entidades Financieras</w:t>
      </w:r>
      <w:r>
        <w:rPr>
          <w:rFonts w:ascii="Cambria" w:hAnsi="Cambria"/>
          <w:sz w:val="24"/>
          <w:szCs w:val="24"/>
        </w:rPr>
        <w:t xml:space="preserve">, Acuerdo SUGEF 3-06. Dicho reglamento define la forma de medición de la suficiencia patrimonial, como el cociente entre el capital base y los riesgos totales, y establece en el 10% el nivel mínimo regulatorio de este coeficiente. </w:t>
      </w:r>
      <w:r w:rsidRPr="00B900E1">
        <w:rPr>
          <w:rFonts w:ascii="Cambria" w:hAnsi="Cambria"/>
          <w:sz w:val="24"/>
          <w:szCs w:val="24"/>
        </w:rPr>
        <w:t>A diferencia del patrimonio contable, el capital base es una construcción que incorpora criterio</w:t>
      </w:r>
      <w:r>
        <w:rPr>
          <w:rFonts w:ascii="Cambria" w:hAnsi="Cambria"/>
          <w:sz w:val="24"/>
          <w:szCs w:val="24"/>
        </w:rPr>
        <w:t>s</w:t>
      </w:r>
      <w:r w:rsidRPr="00B900E1">
        <w:rPr>
          <w:rFonts w:ascii="Cambria" w:hAnsi="Cambria"/>
          <w:sz w:val="24"/>
          <w:szCs w:val="24"/>
        </w:rPr>
        <w:t xml:space="preserve"> </w:t>
      </w:r>
      <w:r>
        <w:rPr>
          <w:rFonts w:ascii="Cambria" w:hAnsi="Cambria"/>
          <w:sz w:val="24"/>
          <w:szCs w:val="24"/>
        </w:rPr>
        <w:t xml:space="preserve">sobre </w:t>
      </w:r>
      <w:r w:rsidRPr="00B900E1">
        <w:rPr>
          <w:rFonts w:ascii="Cambria" w:hAnsi="Cambria"/>
          <w:sz w:val="24"/>
          <w:szCs w:val="24"/>
        </w:rPr>
        <w:t>calidad del capital.</w:t>
      </w:r>
    </w:p>
    <w:p w:rsidR="001F2A16" w:rsidP="001F2A16" w:rsidRDefault="001F2A16" w14:paraId="2E53E26F" w14:textId="77777777">
      <w:pPr>
        <w:pStyle w:val="NormalWeb"/>
        <w:spacing w:after="0"/>
        <w:ind w:left="360"/>
        <w:contextualSpacing/>
        <w:jc w:val="both"/>
        <w:rPr>
          <w:rFonts w:ascii="Cambria" w:hAnsi="Cambria"/>
          <w:sz w:val="24"/>
          <w:szCs w:val="24"/>
        </w:rPr>
      </w:pPr>
    </w:p>
    <w:p w:rsidRPr="00C10E81" w:rsidR="001F2A16" w:rsidP="001F2A16" w:rsidRDefault="001F2A16" w14:paraId="63228AFF" w14:textId="77777777">
      <w:pPr>
        <w:pStyle w:val="NormalWeb"/>
        <w:numPr>
          <w:ilvl w:val="0"/>
          <w:numId w:val="13"/>
        </w:numPr>
        <w:spacing w:after="0"/>
        <w:contextualSpacing/>
        <w:jc w:val="both"/>
        <w:rPr>
          <w:rFonts w:ascii="Cambria" w:hAnsi="Cambria"/>
          <w:sz w:val="24"/>
          <w:szCs w:val="24"/>
        </w:rPr>
      </w:pPr>
      <w:r>
        <w:rPr>
          <w:rFonts w:ascii="Cambria" w:hAnsi="Cambria"/>
          <w:sz w:val="24"/>
          <w:szCs w:val="24"/>
        </w:rPr>
        <w:t xml:space="preserve">El </w:t>
      </w:r>
      <w:r w:rsidRPr="00C10E81">
        <w:rPr>
          <w:rFonts w:ascii="Cambria" w:hAnsi="Cambria"/>
          <w:sz w:val="24"/>
          <w:szCs w:val="24"/>
        </w:rPr>
        <w:t>Artículo 2. Alcance</w:t>
      </w:r>
      <w:r>
        <w:rPr>
          <w:rFonts w:ascii="Cambria" w:hAnsi="Cambria"/>
          <w:sz w:val="24"/>
          <w:szCs w:val="24"/>
        </w:rPr>
        <w:t xml:space="preserve">, del </w:t>
      </w:r>
      <w:r w:rsidRPr="00C10E81">
        <w:rPr>
          <w:rFonts w:ascii="Cambria" w:hAnsi="Cambria"/>
          <w:i/>
          <w:sz w:val="24"/>
          <w:szCs w:val="24"/>
        </w:rPr>
        <w:t>Reglamento sobre la Suficiencia Patrimonial de Entidades Financieras</w:t>
      </w:r>
      <w:r>
        <w:rPr>
          <w:rFonts w:ascii="Cambria" w:hAnsi="Cambria"/>
          <w:sz w:val="24"/>
          <w:szCs w:val="24"/>
        </w:rPr>
        <w:t>, Acuerdo SUGEF 3-06, exceptúa a las casas de cambio de las disposiciones establecidas en ese Reglamento.</w:t>
      </w:r>
    </w:p>
    <w:p w:rsidR="001F2A16" w:rsidP="001F2A16" w:rsidRDefault="001F2A16" w14:paraId="3F3B4E33" w14:textId="77777777">
      <w:pPr>
        <w:pStyle w:val="NormalWeb"/>
        <w:spacing w:after="0"/>
        <w:ind w:left="360"/>
        <w:contextualSpacing/>
        <w:jc w:val="both"/>
        <w:rPr>
          <w:rFonts w:ascii="Cambria" w:hAnsi="Cambria"/>
          <w:sz w:val="24"/>
          <w:szCs w:val="24"/>
        </w:rPr>
      </w:pPr>
    </w:p>
    <w:p w:rsidRPr="001A3A0C" w:rsidR="001F2A16" w:rsidP="001F2A16" w:rsidRDefault="001F2A16" w14:paraId="6133D424" w14:textId="77777777">
      <w:pPr>
        <w:pStyle w:val="NormalWeb"/>
        <w:numPr>
          <w:ilvl w:val="0"/>
          <w:numId w:val="13"/>
        </w:numPr>
        <w:spacing w:after="0"/>
        <w:contextualSpacing/>
        <w:jc w:val="both"/>
        <w:rPr>
          <w:rFonts w:ascii="Cambria" w:hAnsi="Cambria"/>
          <w:sz w:val="24"/>
          <w:szCs w:val="24"/>
        </w:rPr>
      </w:pPr>
      <w:r w:rsidRPr="001A3A0C">
        <w:rPr>
          <w:rFonts w:ascii="Cambria" w:hAnsi="Cambria"/>
          <w:sz w:val="24"/>
          <w:szCs w:val="24"/>
        </w:rPr>
        <w:t xml:space="preserve">La Junta Directiva del Banco Central de Costa Rica en el artículo 4 del acta de la sesión 5774 del 16 de junio del 2017, modificó el </w:t>
      </w:r>
      <w:r w:rsidRPr="001A3A0C">
        <w:rPr>
          <w:rFonts w:ascii="Cambria" w:hAnsi="Cambria"/>
          <w:i/>
          <w:sz w:val="24"/>
          <w:szCs w:val="24"/>
        </w:rPr>
        <w:t>Reglamento para las operaciones cambiarias de contado</w:t>
      </w:r>
      <w:r w:rsidRPr="001A3A0C">
        <w:rPr>
          <w:rFonts w:ascii="Cambria" w:hAnsi="Cambria"/>
          <w:sz w:val="24"/>
          <w:szCs w:val="24"/>
        </w:rPr>
        <w:t xml:space="preserve">, para </w:t>
      </w:r>
      <w:r>
        <w:rPr>
          <w:rFonts w:ascii="Cambria" w:hAnsi="Cambria"/>
          <w:sz w:val="24"/>
          <w:szCs w:val="24"/>
        </w:rPr>
        <w:t xml:space="preserve">que se utilice el concepto de </w:t>
      </w:r>
      <w:r w:rsidRPr="001A3A0C">
        <w:rPr>
          <w:rFonts w:ascii="Cambria" w:hAnsi="Cambria"/>
          <w:sz w:val="24"/>
          <w:szCs w:val="24"/>
        </w:rPr>
        <w:t>capital base</w:t>
      </w:r>
      <w:r>
        <w:rPr>
          <w:rFonts w:ascii="Cambria" w:hAnsi="Cambria"/>
          <w:sz w:val="24"/>
          <w:szCs w:val="24"/>
        </w:rPr>
        <w:t xml:space="preserve"> en esa regulación</w:t>
      </w:r>
      <w:r w:rsidRPr="001A3A0C">
        <w:rPr>
          <w:rFonts w:ascii="Cambria" w:hAnsi="Cambria"/>
          <w:sz w:val="24"/>
          <w:szCs w:val="24"/>
        </w:rPr>
        <w:t xml:space="preserve">, según definición de capital base contenida en el </w:t>
      </w:r>
      <w:r w:rsidRPr="00153444">
        <w:rPr>
          <w:rFonts w:ascii="Cambria" w:hAnsi="Cambria"/>
          <w:i/>
          <w:sz w:val="24"/>
          <w:szCs w:val="24"/>
        </w:rPr>
        <w:t>Reglamento sobre la Suficiencia Patrimonial de Entidades Financieras</w:t>
      </w:r>
      <w:r w:rsidRPr="001A3A0C">
        <w:rPr>
          <w:rFonts w:ascii="Cambria" w:hAnsi="Cambria"/>
          <w:sz w:val="24"/>
          <w:szCs w:val="24"/>
        </w:rPr>
        <w:t xml:space="preserve">, Acuerdo SUGEF 3-06. </w:t>
      </w:r>
    </w:p>
    <w:p w:rsidR="001F2A16" w:rsidP="001F2A16" w:rsidRDefault="001F2A16" w14:paraId="1C5E4C36" w14:textId="77777777">
      <w:pPr>
        <w:pStyle w:val="NormalWeb"/>
        <w:spacing w:after="0"/>
        <w:ind w:left="360"/>
        <w:contextualSpacing/>
        <w:jc w:val="both"/>
        <w:rPr>
          <w:rFonts w:ascii="Cambria" w:hAnsi="Cambria"/>
          <w:sz w:val="24"/>
          <w:szCs w:val="24"/>
        </w:rPr>
      </w:pPr>
    </w:p>
    <w:p w:rsidRPr="00934DDF" w:rsidR="001F2A16" w:rsidP="001F2A16" w:rsidRDefault="001F2A16" w14:paraId="689E7301" w14:textId="77777777">
      <w:pPr>
        <w:pStyle w:val="NormalWeb"/>
        <w:numPr>
          <w:ilvl w:val="0"/>
          <w:numId w:val="13"/>
        </w:numPr>
        <w:spacing w:after="0"/>
        <w:contextualSpacing/>
        <w:jc w:val="both"/>
        <w:rPr>
          <w:rFonts w:ascii="Cambria" w:hAnsi="Cambria"/>
          <w:sz w:val="24"/>
          <w:szCs w:val="24"/>
        </w:rPr>
      </w:pPr>
      <w:r>
        <w:rPr>
          <w:rFonts w:ascii="Cambria" w:hAnsi="Cambria"/>
          <w:sz w:val="24"/>
          <w:szCs w:val="24"/>
        </w:rPr>
        <w:t>D</w:t>
      </w:r>
      <w:r w:rsidRPr="001A3A0C">
        <w:rPr>
          <w:rFonts w:ascii="Cambria" w:hAnsi="Cambria"/>
          <w:sz w:val="24"/>
          <w:szCs w:val="24"/>
        </w:rPr>
        <w:t xml:space="preserve">e conformidad con el Artículo 131, inciso b) de la </w:t>
      </w:r>
      <w:r w:rsidRPr="001A3A0C">
        <w:rPr>
          <w:rFonts w:ascii="Cambria" w:hAnsi="Cambria"/>
          <w:i/>
          <w:sz w:val="24"/>
          <w:szCs w:val="24"/>
        </w:rPr>
        <w:t>Ley Orgánica del Banco Central de Costa Rica</w:t>
      </w:r>
      <w:r>
        <w:rPr>
          <w:rFonts w:ascii="Cambria" w:hAnsi="Cambria"/>
          <w:sz w:val="24"/>
          <w:szCs w:val="24"/>
        </w:rPr>
        <w:t xml:space="preserve">, </w:t>
      </w:r>
      <w:r w:rsidRPr="001A3A0C">
        <w:rPr>
          <w:rFonts w:ascii="Cambria" w:hAnsi="Cambria"/>
          <w:sz w:val="24"/>
          <w:szCs w:val="24"/>
        </w:rPr>
        <w:t xml:space="preserve">Ley </w:t>
      </w:r>
      <w:r>
        <w:rPr>
          <w:rFonts w:ascii="Cambria" w:hAnsi="Cambria"/>
          <w:sz w:val="24"/>
          <w:szCs w:val="24"/>
        </w:rPr>
        <w:t xml:space="preserve">N° </w:t>
      </w:r>
      <w:r w:rsidRPr="001A3A0C">
        <w:rPr>
          <w:rFonts w:ascii="Cambria" w:hAnsi="Cambria"/>
          <w:sz w:val="24"/>
          <w:szCs w:val="24"/>
        </w:rPr>
        <w:t>7558</w:t>
      </w:r>
      <w:r>
        <w:rPr>
          <w:rFonts w:ascii="Cambria" w:hAnsi="Cambria"/>
          <w:sz w:val="24"/>
          <w:szCs w:val="24"/>
        </w:rPr>
        <w:t>,</w:t>
      </w:r>
      <w:r w:rsidRPr="001A3A0C">
        <w:rPr>
          <w:rFonts w:ascii="Cambria" w:hAnsi="Cambria"/>
          <w:sz w:val="24"/>
          <w:szCs w:val="24"/>
        </w:rPr>
        <w:t xml:space="preserve"> corresponde al Superintendente </w:t>
      </w:r>
      <w:r w:rsidRPr="00CE16CF">
        <w:rPr>
          <w:rFonts w:ascii="Cambria" w:hAnsi="Cambria"/>
          <w:sz w:val="24"/>
          <w:szCs w:val="24"/>
        </w:rPr>
        <w:t>definir los procedimientos que deberán aplicar las entidades fiscalizadas a fin de calcu</w:t>
      </w:r>
      <w:r>
        <w:rPr>
          <w:rFonts w:ascii="Cambria" w:hAnsi="Cambria"/>
          <w:sz w:val="24"/>
          <w:szCs w:val="24"/>
        </w:rPr>
        <w:t>lar su patrimonio</w:t>
      </w:r>
      <w:r w:rsidRPr="001A3A0C">
        <w:rPr>
          <w:rFonts w:ascii="Cambria" w:hAnsi="Cambria"/>
          <w:sz w:val="24"/>
          <w:szCs w:val="24"/>
        </w:rPr>
        <w:t>.</w:t>
      </w:r>
    </w:p>
    <w:p w:rsidRPr="00D62745" w:rsidR="001F2A16" w:rsidP="001F2A16" w:rsidRDefault="001F2A16" w14:paraId="21AEE0D4" w14:textId="77777777">
      <w:pPr>
        <w:pStyle w:val="NormalWeb"/>
        <w:spacing w:after="0"/>
        <w:ind w:left="360"/>
        <w:contextualSpacing/>
        <w:jc w:val="both"/>
        <w:rPr>
          <w:rFonts w:ascii="Cambria" w:hAnsi="Cambria"/>
          <w:sz w:val="24"/>
          <w:szCs w:val="24"/>
        </w:rPr>
      </w:pPr>
    </w:p>
    <w:p w:rsidR="001F2A16" w:rsidP="001F2A16" w:rsidRDefault="001F2A16" w14:paraId="4CF3FB55" w14:textId="77777777">
      <w:pPr>
        <w:pStyle w:val="NormalWeb"/>
        <w:numPr>
          <w:ilvl w:val="0"/>
          <w:numId w:val="13"/>
        </w:numPr>
        <w:spacing w:after="0"/>
        <w:contextualSpacing/>
        <w:jc w:val="both"/>
        <w:rPr>
          <w:rFonts w:ascii="Cambria" w:hAnsi="Cambria"/>
          <w:sz w:val="24"/>
          <w:szCs w:val="24"/>
        </w:rPr>
      </w:pPr>
      <w:r>
        <w:rPr>
          <w:rFonts w:ascii="Cambria" w:hAnsi="Cambria"/>
          <w:sz w:val="24"/>
          <w:szCs w:val="24"/>
        </w:rPr>
        <w:t>Únicamente con el propósito de aplicar el concepto de capital base para las casas de cambio, como punto de referencia para establecer los límites para la posición de moneda extranjera y para el cálculo de los límites de variación diaria de dicha posición, resulta necesario establecer el porcentaje de las utilidades del periodo que formarán parte del capital base.</w:t>
      </w:r>
    </w:p>
    <w:p w:rsidR="001F2A16" w:rsidP="001F2A16" w:rsidRDefault="001F2A16" w14:paraId="46FDCF4F" w14:textId="77777777">
      <w:pPr>
        <w:pStyle w:val="NormalWeb"/>
        <w:spacing w:after="0"/>
        <w:contextualSpacing/>
        <w:jc w:val="both"/>
        <w:rPr>
          <w:rFonts w:ascii="Cambria" w:hAnsi="Cambria"/>
          <w:sz w:val="24"/>
          <w:szCs w:val="24"/>
        </w:rPr>
      </w:pPr>
    </w:p>
    <w:p w:rsidRPr="00934DDF" w:rsidR="001F2A16" w:rsidP="001F2A16" w:rsidRDefault="001F2A16" w14:paraId="1206E4F7" w14:textId="77777777">
      <w:pPr>
        <w:pStyle w:val="NormalWeb"/>
        <w:spacing w:after="0"/>
        <w:contextualSpacing/>
        <w:jc w:val="both"/>
        <w:rPr>
          <w:rFonts w:ascii="Cambria" w:hAnsi="Cambria"/>
          <w:sz w:val="24"/>
          <w:szCs w:val="24"/>
        </w:rPr>
      </w:pPr>
    </w:p>
    <w:p w:rsidRPr="00D26B6D" w:rsidR="001F2A16" w:rsidP="001F2A16" w:rsidRDefault="001F2A16" w14:paraId="2D8A9459" w14:textId="77777777">
      <w:pPr>
        <w:pStyle w:val="NormalWeb"/>
        <w:spacing w:before="150" w:beforeAutospacing="0" w:after="150" w:afterAutospacing="0"/>
        <w:jc w:val="both"/>
        <w:rPr>
          <w:rFonts w:ascii="Cambria" w:hAnsi="Cambria"/>
          <w:b/>
          <w:bCs/>
          <w:sz w:val="24"/>
          <w:szCs w:val="24"/>
        </w:rPr>
      </w:pPr>
      <w:r w:rsidRPr="00D26B6D">
        <w:rPr>
          <w:rFonts w:ascii="Cambria" w:hAnsi="Cambria"/>
          <w:b/>
          <w:bCs/>
          <w:sz w:val="24"/>
          <w:szCs w:val="24"/>
        </w:rPr>
        <w:t>Dispone:</w:t>
      </w:r>
    </w:p>
    <w:p w:rsidRPr="007E20FC" w:rsidR="001F2A16" w:rsidP="001F2A16" w:rsidRDefault="001F2A16" w14:paraId="3869F226" w14:textId="77777777">
      <w:pPr>
        <w:pStyle w:val="NormalWeb"/>
        <w:numPr>
          <w:ilvl w:val="0"/>
          <w:numId w:val="14"/>
        </w:numPr>
        <w:spacing w:after="0"/>
        <w:contextualSpacing/>
        <w:jc w:val="both"/>
        <w:rPr>
          <w:rFonts w:ascii="Cambria" w:hAnsi="Cambria"/>
          <w:color w:val="auto"/>
          <w:sz w:val="24"/>
          <w:szCs w:val="24"/>
        </w:rPr>
      </w:pPr>
      <w:r w:rsidRPr="00682911">
        <w:rPr>
          <w:rFonts w:ascii="Cambria" w:hAnsi="Cambria"/>
          <w:color w:val="auto"/>
          <w:sz w:val="24"/>
          <w:szCs w:val="24"/>
        </w:rPr>
        <w:t xml:space="preserve">Únicamente para los fines </w:t>
      </w:r>
      <w:r>
        <w:rPr>
          <w:rFonts w:ascii="Cambria" w:hAnsi="Cambria"/>
          <w:color w:val="auto"/>
          <w:sz w:val="24"/>
          <w:szCs w:val="24"/>
        </w:rPr>
        <w:t xml:space="preserve">de la aplicación del </w:t>
      </w:r>
      <w:r w:rsidRPr="00682911">
        <w:rPr>
          <w:rFonts w:ascii="Cambria" w:hAnsi="Cambria"/>
          <w:i/>
          <w:color w:val="auto"/>
          <w:sz w:val="24"/>
          <w:szCs w:val="24"/>
        </w:rPr>
        <w:t>Reglamento para las operaciones cambiarias de contado</w:t>
      </w:r>
      <w:r>
        <w:rPr>
          <w:rFonts w:ascii="Cambria" w:hAnsi="Cambria"/>
          <w:color w:val="auto"/>
          <w:sz w:val="24"/>
          <w:szCs w:val="24"/>
        </w:rPr>
        <w:t xml:space="preserve"> emitido por el Banco Central de Costa Rica</w:t>
      </w:r>
      <w:r w:rsidRPr="00682911">
        <w:rPr>
          <w:rFonts w:ascii="Cambria" w:hAnsi="Cambria"/>
          <w:color w:val="auto"/>
          <w:sz w:val="24"/>
          <w:szCs w:val="24"/>
        </w:rPr>
        <w:t xml:space="preserve">, </w:t>
      </w:r>
      <w:r>
        <w:rPr>
          <w:rFonts w:ascii="Cambria" w:hAnsi="Cambria"/>
          <w:color w:val="auto"/>
          <w:sz w:val="24"/>
          <w:szCs w:val="24"/>
        </w:rPr>
        <w:t>se considerará</w:t>
      </w:r>
      <w:r w:rsidRPr="00682911">
        <w:rPr>
          <w:rFonts w:ascii="Cambria" w:hAnsi="Cambria"/>
          <w:color w:val="auto"/>
          <w:sz w:val="24"/>
          <w:szCs w:val="24"/>
        </w:rPr>
        <w:t xml:space="preserve"> </w:t>
      </w:r>
      <w:r w:rsidRPr="007E20FC">
        <w:rPr>
          <w:rFonts w:ascii="Cambria" w:hAnsi="Cambria"/>
          <w:color w:val="auto"/>
          <w:sz w:val="24"/>
          <w:szCs w:val="24"/>
        </w:rPr>
        <w:t>el 100</w:t>
      </w:r>
      <w:r>
        <w:rPr>
          <w:rFonts w:ascii="Cambria" w:hAnsi="Cambria"/>
          <w:color w:val="auto"/>
          <w:sz w:val="24"/>
          <w:szCs w:val="24"/>
        </w:rPr>
        <w:t>% de las utilidades del periodo</w:t>
      </w:r>
      <w:r w:rsidRPr="007E20FC">
        <w:rPr>
          <w:rFonts w:ascii="Cambria" w:hAnsi="Cambria"/>
          <w:color w:val="auto"/>
          <w:sz w:val="24"/>
          <w:szCs w:val="24"/>
        </w:rPr>
        <w:t xml:space="preserve"> dentro del cálculo del Capital Base de las Casas de Cambio</w:t>
      </w:r>
      <w:r>
        <w:rPr>
          <w:rFonts w:ascii="Cambria" w:hAnsi="Cambria"/>
          <w:color w:val="auto"/>
          <w:sz w:val="24"/>
          <w:szCs w:val="24"/>
        </w:rPr>
        <w:t xml:space="preserve">, </w:t>
      </w:r>
      <w:r w:rsidRPr="007E20FC">
        <w:rPr>
          <w:rFonts w:ascii="Cambria" w:hAnsi="Cambria"/>
          <w:color w:val="auto"/>
          <w:sz w:val="24"/>
          <w:szCs w:val="24"/>
        </w:rPr>
        <w:t xml:space="preserve">según los Artículos 5 al 8 del </w:t>
      </w:r>
      <w:r w:rsidRPr="007E20FC">
        <w:rPr>
          <w:rFonts w:ascii="Cambria" w:hAnsi="Cambria"/>
          <w:i/>
          <w:sz w:val="24"/>
          <w:szCs w:val="24"/>
        </w:rPr>
        <w:t>Reglamento sobre la Suficiencia Patrimonial de Entidades Financieras</w:t>
      </w:r>
      <w:r w:rsidRPr="007E20FC">
        <w:rPr>
          <w:rFonts w:ascii="Cambria" w:hAnsi="Cambria"/>
          <w:sz w:val="24"/>
          <w:szCs w:val="24"/>
        </w:rPr>
        <w:t>, Acuerdo SUGEF 3-06</w:t>
      </w:r>
      <w:r w:rsidRPr="007E20FC">
        <w:rPr>
          <w:rFonts w:ascii="Cambria" w:hAnsi="Cambria"/>
          <w:color w:val="auto"/>
          <w:sz w:val="24"/>
          <w:szCs w:val="24"/>
        </w:rPr>
        <w:t>.</w:t>
      </w:r>
    </w:p>
    <w:p w:rsidRPr="003C6303" w:rsidR="001F2A16" w:rsidP="001F2A16" w:rsidRDefault="001F2A16" w14:paraId="537B7126" w14:textId="77777777">
      <w:pPr>
        <w:pStyle w:val="NormalWeb"/>
        <w:spacing w:before="0" w:beforeAutospacing="0" w:after="0" w:afterAutospacing="0"/>
        <w:ind w:left="708"/>
        <w:contextualSpacing/>
        <w:jc w:val="both"/>
        <w:rPr>
          <w:rFonts w:ascii="Cambria" w:hAnsi="Cambria"/>
          <w:color w:val="auto"/>
          <w:sz w:val="24"/>
          <w:szCs w:val="24"/>
        </w:rPr>
      </w:pPr>
    </w:p>
    <w:p w:rsidRPr="003C6303" w:rsidR="001F2A16" w:rsidP="001F2A16" w:rsidRDefault="001F2A16" w14:paraId="41B0945F" w14:textId="77777777">
      <w:pPr>
        <w:pStyle w:val="Texto0"/>
        <w:spacing w:before="0" w:after="0" w:line="240" w:lineRule="auto"/>
        <w:rPr>
          <w:sz w:val="24"/>
          <w:lang w:eastAsia="es-ES"/>
        </w:rPr>
      </w:pPr>
      <w:r w:rsidRPr="003C6303">
        <w:rPr>
          <w:sz w:val="24"/>
          <w:lang w:eastAsia="es-ES"/>
        </w:rPr>
        <w:t>Atentamente,</w:t>
      </w:r>
    </w:p>
    <w:p w:rsidRPr="003C6303" w:rsidR="001F2A16" w:rsidP="001F2A16" w:rsidRDefault="001F2A16" w14:paraId="2E38EAFC" w14:textId="77777777">
      <w:pPr>
        <w:pStyle w:val="Negrita"/>
        <w:rPr>
          <w:b w:val="0"/>
          <w:sz w:val="24"/>
          <w:lang w:eastAsia="es-ES"/>
        </w:rPr>
      </w:pPr>
      <w:r w:rsidRPr="003C6303">
        <w:rPr>
          <w:b w:val="0"/>
          <w:noProof/>
          <w:sz w:val="24"/>
          <w:lang w:val="es-CR" w:eastAsia="es-CR"/>
        </w:rPr>
        <w:drawing>
          <wp:anchor distT="0" distB="0" distL="114300" distR="114300" simplePos="0" relativeHeight="251660288" behindDoc="1" locked="0" layoutInCell="1" allowOverlap="1" wp14:editId="18874C94" wp14:anchorId="1775AD55">
            <wp:simplePos x="0" y="0"/>
            <wp:positionH relativeFrom="column">
              <wp:posOffset>0</wp:posOffset>
            </wp:positionH>
            <wp:positionV relativeFrom="paragraph">
              <wp:posOffset>47338</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C6303" w:rsidR="001F2A16" w:rsidP="001F2A16" w:rsidRDefault="001F2A16" w14:paraId="589BA3A8" w14:textId="77777777">
      <w:pPr>
        <w:pStyle w:val="Negrita"/>
        <w:spacing w:line="240" w:lineRule="auto"/>
        <w:rPr>
          <w:b w:val="0"/>
          <w:sz w:val="24"/>
          <w:lang w:eastAsia="es-ES"/>
        </w:rPr>
      </w:pPr>
    </w:p>
    <w:p w:rsidRPr="003C6303" w:rsidR="001F2A16" w:rsidP="001F2A16" w:rsidRDefault="001F2A16" w14:paraId="65E24343" w14:textId="77777777">
      <w:pPr>
        <w:pStyle w:val="Negrita"/>
        <w:spacing w:line="240" w:lineRule="auto"/>
        <w:rPr>
          <w:b w:val="0"/>
          <w:sz w:val="24"/>
          <w:lang w:eastAsia="es-ES"/>
        </w:rPr>
      </w:pPr>
      <w:r>
        <w:rPr>
          <w:b w:val="0"/>
          <w:sz w:val="24"/>
          <w:lang w:eastAsia="es-ES"/>
        </w:rPr>
        <w:t>Bernardo Alfaro</w:t>
      </w:r>
    </w:p>
    <w:p w:rsidRPr="00AF499C" w:rsidR="001F2A16" w:rsidP="001F2A16" w:rsidRDefault="001F2A16" w14:paraId="343B5C60" w14:textId="77777777">
      <w:pPr>
        <w:pStyle w:val="Negrita"/>
        <w:spacing w:line="240" w:lineRule="auto"/>
        <w:rPr>
          <w:sz w:val="24"/>
          <w:lang w:eastAsia="es-ES"/>
        </w:rPr>
      </w:pPr>
      <w:r w:rsidRPr="00AF499C">
        <w:rPr>
          <w:sz w:val="24"/>
          <w:lang w:eastAsia="es-ES"/>
        </w:rPr>
        <w:t>Superintendente</w:t>
      </w:r>
    </w:p>
    <w:p w:rsidRPr="003C6303" w:rsidR="001F2A16" w:rsidP="001F2A16" w:rsidRDefault="001F2A16" w14:paraId="64538C17" w14:textId="77777777">
      <w:pPr>
        <w:pStyle w:val="CC"/>
        <w:rPr>
          <w:sz w:val="24"/>
          <w:szCs w:val="24"/>
          <w:lang w:eastAsia="es-ES"/>
        </w:rPr>
      </w:pPr>
    </w:p>
    <w:p w:rsidRPr="00AF499C" w:rsidR="00A26E9E" w:rsidP="00590F07" w:rsidRDefault="00AF499C" w14:paraId="7432378D" w14:textId="616609A7">
      <w:pPr>
        <w:pStyle w:val="CC"/>
        <w:rPr>
          <w:b/>
          <w:sz w:val="20"/>
          <w:szCs w:val="24"/>
          <w:lang w:eastAsia="es-ES"/>
        </w:rPr>
      </w:pPr>
      <w:r>
        <w:rPr>
          <w:b/>
          <w:sz w:val="20"/>
          <w:szCs w:val="24"/>
          <w:lang w:eastAsia="es-ES"/>
        </w:rPr>
        <w:t>CGM/</w:t>
      </w:r>
      <w:r w:rsidRPr="00AF499C" w:rsidR="001F2A16">
        <w:rPr>
          <w:b/>
          <w:sz w:val="20"/>
          <w:szCs w:val="24"/>
          <w:lang w:eastAsia="es-ES"/>
        </w:rPr>
        <w:t>GAA/gvl*</w:t>
      </w:r>
    </w:p>
    <w:sectPr w:rsidRPr="00AF499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9BD5" w14:textId="77777777" w:rsidR="001F2A16" w:rsidRDefault="001F2A16" w:rsidP="00D43D57">
      <w:r>
        <w:separator/>
      </w:r>
    </w:p>
  </w:endnote>
  <w:endnote w:type="continuationSeparator" w:id="0">
    <w:p w14:paraId="65F03E02" w14:textId="77777777" w:rsidR="001F2A16" w:rsidRDefault="001F2A1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4F37117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40FA78C9" w14:textId="77777777">
      <w:trPr>
        <w:trHeight w:val="546"/>
      </w:trPr>
      <w:tc>
        <w:tcPr>
          <w:tcW w:w="3189" w:type="dxa"/>
          <w:shd w:val="clear" w:color="auto" w:fill="FFFFFF"/>
          <w:vAlign w:val="center"/>
        </w:tcPr>
        <w:p w:rsidR="008F1461" w:rsidP="000C62BB" w:rsidRDefault="008F1461" w14:paraId="0EA4C963" w14:textId="77777777">
          <w:pPr>
            <w:pStyle w:val="Piepagina"/>
          </w:pPr>
          <w:r>
            <w:rPr>
              <w:b/>
              <w:bCs/>
            </w:rPr>
            <w:t>Teléfono</w:t>
          </w:r>
          <w:r>
            <w:t xml:space="preserve">   (506) 2243-4848</w:t>
          </w:r>
        </w:p>
        <w:p w:rsidR="008F1461" w:rsidP="000C62BB" w:rsidRDefault="008F1461" w14:paraId="62CE8A5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89D3DD6" w14:textId="77777777">
          <w:pPr>
            <w:pStyle w:val="Piepagina"/>
          </w:pPr>
          <w:r>
            <w:rPr>
              <w:b/>
              <w:bCs/>
            </w:rPr>
            <w:t>Apartado</w:t>
          </w:r>
          <w:r>
            <w:t xml:space="preserve"> 2762-1000</w:t>
          </w:r>
        </w:p>
        <w:p w:rsidR="008F1461" w:rsidP="000C62BB" w:rsidRDefault="008F1461" w14:paraId="335A109C" w14:textId="77777777">
          <w:pPr>
            <w:pStyle w:val="Piepagina"/>
          </w:pPr>
          <w:r>
            <w:t>San José, Costa Rica</w:t>
          </w:r>
        </w:p>
      </w:tc>
      <w:tc>
        <w:tcPr>
          <w:tcW w:w="2410" w:type="dxa"/>
          <w:shd w:val="clear" w:color="auto" w:fill="FFFFFF"/>
          <w:vAlign w:val="center"/>
        </w:tcPr>
        <w:p w:rsidR="008F1461" w:rsidP="000C62BB" w:rsidRDefault="008F1461" w14:paraId="213C10A8" w14:textId="77777777">
          <w:pPr>
            <w:pStyle w:val="Piepagina"/>
          </w:pPr>
          <w:r>
            <w:t>www.sugef.fi.cr</w:t>
          </w:r>
        </w:p>
        <w:p w:rsidR="008F1461" w:rsidP="000C62BB" w:rsidRDefault="008F1461" w14:paraId="1857CAA9" w14:textId="77777777">
          <w:pPr>
            <w:pStyle w:val="Piepagina"/>
          </w:pPr>
          <w:r>
            <w:t>sugefcr@sugef.fi.cr</w:t>
          </w:r>
        </w:p>
      </w:tc>
      <w:tc>
        <w:tcPr>
          <w:tcW w:w="260" w:type="dxa"/>
          <w:shd w:val="clear" w:color="auto" w:fill="FFFFFF"/>
        </w:tcPr>
        <w:p w:rsidR="008F1461" w:rsidP="000C62BB" w:rsidRDefault="008F1461" w14:paraId="7B066FC3" w14:textId="77777777">
          <w:pPr>
            <w:pStyle w:val="Piepagina"/>
          </w:pPr>
          <w:r>
            <w:fldChar w:fldCharType="begin"/>
          </w:r>
          <w:r>
            <w:instrText>PAGE   \* MERGEFORMAT</w:instrText>
          </w:r>
          <w:r>
            <w:fldChar w:fldCharType="separate"/>
          </w:r>
          <w:r w:rsidR="002D0E92">
            <w:rPr>
              <w:noProof/>
            </w:rPr>
            <w:t>1</w:t>
          </w:r>
          <w:r>
            <w:fldChar w:fldCharType="end"/>
          </w:r>
        </w:p>
      </w:tc>
    </w:tr>
  </w:tbl>
  <w:p w:rsidRPr="000C62BB" w:rsidR="00590F07" w:rsidRDefault="00590F07" w14:paraId="63F8950D" w14:textId="77777777">
    <w:pPr>
      <w:pStyle w:val="Piedepgina"/>
      <w:jc w:val="right"/>
      <w:rPr>
        <w:color w:val="969696"/>
        <w:sz w:val="20"/>
        <w:szCs w:val="20"/>
      </w:rPr>
    </w:pPr>
  </w:p>
  <w:p w:rsidR="001C075B" w:rsidP="00FA54DF" w:rsidRDefault="001C075B" w14:paraId="527B125A"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3A1F661" w14:textId="77777777">
    <w:pPr>
      <w:pStyle w:val="Piepagina"/>
      <w:jc w:val="center"/>
    </w:pPr>
    <w:r>
      <w:rPr>
        <w:noProof/>
        <w:lang w:val="es-CR" w:eastAsia="es-CR"/>
      </w:rPr>
      <w:drawing>
        <wp:anchor distT="0" distB="0" distL="114300" distR="114300" simplePos="0" relativeHeight="251669504" behindDoc="1" locked="0" layoutInCell="1" allowOverlap="1" wp14:editId="34A92DF3" wp14:anchorId="0B5AC7A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EC5F1F1" wp14:anchorId="5954A18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ADF76FB" w14:textId="77777777">
                          <w:pPr>
                            <w:rPr>
                              <w:color w:val="003A68"/>
                              <w:sz w:val="14"/>
                              <w:szCs w:val="14"/>
                            </w:rPr>
                          </w:pPr>
                          <w:r w:rsidRPr="00FA54DF">
                            <w:rPr>
                              <w:color w:val="003A68"/>
                              <w:sz w:val="14"/>
                              <w:szCs w:val="14"/>
                            </w:rPr>
                            <w:t xml:space="preserve">T. (506) 2243-3631   </w:t>
                          </w:r>
                        </w:p>
                        <w:p w:rsidRPr="00FA54DF" w:rsidR="001C075B" w:rsidRDefault="001C075B" w14:paraId="59E43926" w14:textId="77777777">
                          <w:pPr>
                            <w:rPr>
                              <w:color w:val="003A68"/>
                              <w:sz w:val="14"/>
                              <w:szCs w:val="14"/>
                            </w:rPr>
                          </w:pPr>
                          <w:r w:rsidRPr="00FA54DF">
                            <w:rPr>
                              <w:color w:val="003A68"/>
                              <w:sz w:val="14"/>
                              <w:szCs w:val="14"/>
                            </w:rPr>
                            <w:t xml:space="preserve">F. (506) 2243-4579   </w:t>
                          </w:r>
                        </w:p>
                        <w:p w:rsidR="001C075B" w:rsidRDefault="001C075B" w14:paraId="237148F6" w14:textId="77777777">
                          <w:pPr>
                            <w:rPr>
                              <w:color w:val="003A68"/>
                              <w:sz w:val="14"/>
                              <w:szCs w:val="14"/>
                            </w:rPr>
                          </w:pPr>
                          <w:r w:rsidRPr="00FA54DF">
                            <w:rPr>
                              <w:color w:val="003A68"/>
                              <w:sz w:val="14"/>
                              <w:szCs w:val="14"/>
                            </w:rPr>
                            <w:t>Apdo. 10058-1000</w:t>
                          </w:r>
                        </w:p>
                        <w:p w:rsidR="001C075B" w:rsidRDefault="001C075B" w14:paraId="4C08DD42" w14:textId="77777777">
                          <w:pPr>
                            <w:rPr>
                              <w:color w:val="003A68"/>
                              <w:sz w:val="14"/>
                              <w:szCs w:val="14"/>
                            </w:rPr>
                          </w:pPr>
                          <w:r w:rsidRPr="00FA54DF">
                            <w:rPr>
                              <w:color w:val="003A68"/>
                              <w:sz w:val="14"/>
                              <w:szCs w:val="14"/>
                            </w:rPr>
                            <w:t>Av. 1 y Central, Calles 2 y 4</w:t>
                          </w:r>
                        </w:p>
                        <w:p w:rsidRPr="00FA54DF" w:rsidR="001C075B" w:rsidRDefault="001C075B" w14:paraId="0B1D094B"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54A18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ADF76FB" w14:textId="77777777">
                    <w:pPr>
                      <w:rPr>
                        <w:color w:val="003A68"/>
                        <w:sz w:val="14"/>
                        <w:szCs w:val="14"/>
                      </w:rPr>
                    </w:pPr>
                    <w:r w:rsidRPr="00FA54DF">
                      <w:rPr>
                        <w:color w:val="003A68"/>
                        <w:sz w:val="14"/>
                        <w:szCs w:val="14"/>
                      </w:rPr>
                      <w:t xml:space="preserve">T. (506) 2243-3631   </w:t>
                    </w:r>
                  </w:p>
                  <w:p w:rsidRPr="00FA54DF" w:rsidR="001C075B" w:rsidRDefault="001C075B" w14:paraId="59E43926" w14:textId="77777777">
                    <w:pPr>
                      <w:rPr>
                        <w:color w:val="003A68"/>
                        <w:sz w:val="14"/>
                        <w:szCs w:val="14"/>
                      </w:rPr>
                    </w:pPr>
                    <w:r w:rsidRPr="00FA54DF">
                      <w:rPr>
                        <w:color w:val="003A68"/>
                        <w:sz w:val="14"/>
                        <w:szCs w:val="14"/>
                      </w:rPr>
                      <w:t xml:space="preserve">F. (506) 2243-4579   </w:t>
                    </w:r>
                  </w:p>
                  <w:p w:rsidR="001C075B" w:rsidRDefault="001C075B" w14:paraId="237148F6" w14:textId="77777777">
                    <w:pPr>
                      <w:rPr>
                        <w:color w:val="003A68"/>
                        <w:sz w:val="14"/>
                        <w:szCs w:val="14"/>
                      </w:rPr>
                    </w:pPr>
                    <w:r w:rsidRPr="00FA54DF">
                      <w:rPr>
                        <w:color w:val="003A68"/>
                        <w:sz w:val="14"/>
                        <w:szCs w:val="14"/>
                      </w:rPr>
                      <w:t>Apdo. 10058-1000</w:t>
                    </w:r>
                  </w:p>
                  <w:p w:rsidR="001C075B" w:rsidRDefault="001C075B" w14:paraId="4C08DD42" w14:textId="77777777">
                    <w:pPr>
                      <w:rPr>
                        <w:color w:val="003A68"/>
                        <w:sz w:val="14"/>
                        <w:szCs w:val="14"/>
                      </w:rPr>
                    </w:pPr>
                    <w:r w:rsidRPr="00FA54DF">
                      <w:rPr>
                        <w:color w:val="003A68"/>
                        <w:sz w:val="14"/>
                        <w:szCs w:val="14"/>
                      </w:rPr>
                      <w:t>Av. 1 y Central, Calles 2 y 4</w:t>
                    </w:r>
                  </w:p>
                  <w:p w:rsidRPr="00FA54DF" w:rsidR="001C075B" w:rsidRDefault="001C075B" w14:paraId="0B1D094B" w14:textId="77777777">
                    <w:pPr>
                      <w:rPr>
                        <w:color w:val="003A68"/>
                        <w:sz w:val="14"/>
                        <w:szCs w:val="14"/>
                      </w:rPr>
                    </w:pPr>
                  </w:p>
                </w:txbxContent>
              </v:textbox>
            </v:shape>
          </w:pict>
        </mc:Fallback>
      </mc:AlternateContent>
    </w:r>
  </w:p>
  <w:p w:rsidRPr="00D43D57" w:rsidR="001C075B" w:rsidP="008C0BF0" w:rsidRDefault="001C075B" w14:paraId="5775C725" w14:textId="77777777">
    <w:pPr>
      <w:pStyle w:val="Piepagina"/>
      <w:jc w:val="center"/>
    </w:pPr>
  </w:p>
  <w:p w:rsidR="001C075B" w:rsidRDefault="001C075B" w14:paraId="5C65C37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33B19" w14:textId="77777777" w:rsidR="001F2A16" w:rsidRDefault="001F2A16" w:rsidP="00D43D57">
      <w:r>
        <w:separator/>
      </w:r>
    </w:p>
  </w:footnote>
  <w:footnote w:type="continuationSeparator" w:id="0">
    <w:p w14:paraId="0C80FAB2" w14:textId="77777777" w:rsidR="001F2A16" w:rsidRDefault="001F2A1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CC8BEC8" w14:textId="77777777">
    <w:pPr>
      <w:pStyle w:val="Piedepgina"/>
      <w:jc w:val="center"/>
    </w:pPr>
    <w:r>
      <w:rPr>
        <w:noProof/>
        <w:lang w:val="es-CR" w:eastAsia="es-CR"/>
      </w:rPr>
      <w:drawing>
        <wp:inline distT="0" distB="0" distL="0" distR="0" wp14:anchorId="0D8A20EB" wp14:editId="071D8FF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69397B40" w14:textId="77777777">
    <w:pPr>
      <w:pStyle w:val="Encabezado"/>
      <w:pBdr>
        <w:bottom w:val="single" w:color="auto" w:sz="4" w:space="3"/>
      </w:pBdr>
      <w:ind w:right="-1"/>
      <w:rPr>
        <w:b/>
        <w:sz w:val="20"/>
        <w:szCs w:val="20"/>
      </w:rPr>
    </w:pPr>
    <w:r>
      <w:rPr>
        <w:noProof/>
        <w:lang w:val="es-CR" w:eastAsia="es-CR"/>
      </w:rPr>
      <w:drawing>
        <wp:inline distT="0" distB="0" distL="0" distR="0" wp14:anchorId="1427EFB6" wp14:editId="5B23E6D1">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D3A32F8"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6287E6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A41E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16"/>
    <w:rsid w:val="000064A4"/>
    <w:rsid w:val="000235B5"/>
    <w:rsid w:val="00026C85"/>
    <w:rsid w:val="00041BDD"/>
    <w:rsid w:val="000439A6"/>
    <w:rsid w:val="00060C03"/>
    <w:rsid w:val="000646DD"/>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1F2A16"/>
    <w:rsid w:val="00230C67"/>
    <w:rsid w:val="002645B7"/>
    <w:rsid w:val="002A14D5"/>
    <w:rsid w:val="002C56A4"/>
    <w:rsid w:val="002D0E92"/>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C5138"/>
    <w:rsid w:val="00AC5E12"/>
    <w:rsid w:val="00AD7B1E"/>
    <w:rsid w:val="00AE3929"/>
    <w:rsid w:val="00AF45B7"/>
    <w:rsid w:val="00AF499C"/>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5185D"/>
    <w:rsid w:val="00E75AC8"/>
    <w:rsid w:val="00E82177"/>
    <w:rsid w:val="00EB2B50"/>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26793F"/>
  <w15:docId w15:val="{5B58D97D-FACD-45B2-A985-191A9143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NormalWeb">
    <w:name w:val="Normal (Web)"/>
    <w:basedOn w:val="Normal"/>
    <w:locked/>
    <w:rsid w:val="001F2A16"/>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F550FFBAB940E686741331C814A724"/>
        <w:category>
          <w:name w:val="General"/>
          <w:gallery w:val="placeholder"/>
        </w:category>
        <w:types>
          <w:type w:val="bbPlcHdr"/>
        </w:types>
        <w:behaviors>
          <w:behavior w:val="content"/>
        </w:behaviors>
        <w:guid w:val="{EBC708CF-84B7-4CFD-B8AC-67EE8CFFB840}"/>
      </w:docPartPr>
      <w:docPartBody>
        <w:p w:rsidR="00485AD2" w:rsidRDefault="00485AD2">
          <w:pPr>
            <w:pStyle w:val="A6F550FFBAB940E686741331C814A724"/>
          </w:pPr>
          <w:r w:rsidRPr="001E0779">
            <w:rPr>
              <w:rStyle w:val="Textodelmarcadordeposicin"/>
            </w:rPr>
            <w:t>Haga clic aquí para escribir texto.</w:t>
          </w:r>
        </w:p>
      </w:docPartBody>
    </w:docPart>
    <w:docPart>
      <w:docPartPr>
        <w:name w:val="60B001D15369416099D0793DC1AF3790"/>
        <w:category>
          <w:name w:val="General"/>
          <w:gallery w:val="placeholder"/>
        </w:category>
        <w:types>
          <w:type w:val="bbPlcHdr"/>
        </w:types>
        <w:behaviors>
          <w:behavior w:val="content"/>
        </w:behaviors>
        <w:guid w:val="{50439751-3636-4ACC-B235-2E48BEBBE5AD}"/>
      </w:docPartPr>
      <w:docPartBody>
        <w:p w:rsidR="00485AD2" w:rsidRDefault="00485AD2">
          <w:pPr>
            <w:pStyle w:val="60B001D15369416099D0793DC1AF379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D2"/>
    <w:rsid w:val="00485A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6F550FFBAB940E686741331C814A724">
    <w:name w:val="A6F550FFBAB940E686741331C814A724"/>
  </w:style>
  <w:style w:type="paragraph" w:customStyle="1" w:styleId="60B001D15369416099D0793DC1AF3790">
    <w:name w:val="60B001D15369416099D0793DC1AF3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+YEv0SSnw43qDai0X3zPH0vjzGRHhDhkH7OS6/ujQXo=</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9A9/B5YmgiFhm/xBEXgKWaopyZxa1NwwvxTBb2H2LOE=</DigestValue>
    </Reference>
  </SignedInfo>
  <SignatureValue>nEvpuElCziJhD6+SF+V8OJ0c9chrbYMz/XLC1tD0iFVYbOuXRDLZDAQ1qtFhz8vdywX7Gqilw5hd
7m5SKQ99y6g0fZc97U3n9OGPm7SwbuG+9Fikmb8w9dXJvgNMRywVA/rcm0kS2bshKxDMDchhJdDv
j++IiS/pcahu0X654TLAqRSR32qd17mvruJO2hTGubKXerEH0NP6A1O/xuxOzWH+dRiUzyAxtw7M
d9ox7G9+h3MFGlD9EXTGf+uonN88CjVbIWyrlz4D3VxS2bsvEHTqdVKPrlaBvnEfkRju2mhp0kP2
Yy5GQ+DORFnmPq+nBK7VDu9ReaI/9So+dzSxqg==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kVITBCX342bkMvhtVAnHMo31yf4UutxsGcFh3oROQ8c=</DigestValue>
      </Reference>
      <Reference URI="/word/endnotes.xml?ContentType=application/vnd.openxmlformats-officedocument.wordprocessingml.endnotes+xml">
        <DigestMethod Algorithm="http://www.w3.org/2001/04/xmlenc#sha256"/>
        <DigestValue>d34eJ0BuS0miU8OjIWImSEQ9a9Uco4go2eeM4Pm3gZc=</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xfrVsY9mzUkakJqGNglKE1rXGC+3MXZ+uE+2/M6a+/0=</DigestValue>
      </Reference>
      <Reference URI="/word/footer2.xml?ContentType=application/vnd.openxmlformats-officedocument.wordprocessingml.footer+xml">
        <DigestMethod Algorithm="http://www.w3.org/2001/04/xmlenc#sha256"/>
        <DigestValue>kfG2naxK7IY+96ph/2TrQBDj0/Xy5qz1IPmTKD7ny0c=</DigestValue>
      </Reference>
      <Reference URI="/word/footnotes.xml?ContentType=application/vnd.openxmlformats-officedocument.wordprocessingml.footnotes+xml">
        <DigestMethod Algorithm="http://www.w3.org/2001/04/xmlenc#sha256"/>
        <DigestValue>4lFCAKhM0sIZQx0ZF1sCpaT0E3hTlSmjarj05IO+5rs=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gbGvaWiBOdtbsnTm6JSWO8cR6pnAIJOKNdthtomXcjM=</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JWqZdJLRDrxgNqAi9ayHGqgr21aDVPytjScXvtCDSKo=</DigestValue>
      </Reference>
      <Reference URI="/word/glossary/styles.xml?ContentType=application/vnd.openxmlformats-officedocument.wordprocessingml.styles+xml">
        <DigestMethod Algorithm="http://www.w3.org/2001/04/xmlenc#sha256"/>
        <DigestValue>0fOL6oVJS60n+zqrfmyJZh/Htn9N6TVw/h5153POTWs=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aaNBM/jyguR2p3DDRtVvnLLIcI6BCqXnztAcTCcpAjQ=</DigestValue>
      </Reference>
      <Reference URI="/word/header2.xml?ContentType=application/vnd.openxmlformats-officedocument.wordprocessingml.header+xml">
        <DigestMethod Algorithm="http://www.w3.org/2001/04/xmlenc#sha256"/>
        <DigestValue>8Svm7yxqzLOjmV7dJUDNbEBNCHqwACo5RZU1O6EnWko=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ZCDv+urXWQNnwvsgJ4xJEhPSKAotMGH0epDSI3h8ZFE=</DigestValue>
      </Reference>
      <Reference URI="/word/settings.xml?ContentType=application/vnd.openxmlformats-officedocument.wordprocessingml.settings+xml">
        <DigestMethod Algorithm="http://www.w3.org/2001/04/xmlenc#sha256"/>
        <DigestValue>q20mL22IG6OuWYkt3+BvEcjlRyFnE6p95CFgB4+gZSg=</DigestValue>
      </Reference>
      <Reference URI="/word/styles.xml?ContentType=application/vnd.openxmlformats-officedocument.wordprocessingml.styles+xml">
        <DigestMethod Algorithm="http://www.w3.org/2001/04/xmlenc#sha256"/>
        <DigestValue>NJUeBizigk58uOxT/B20L8gk4eFliC5yJNIdjW3BKxQ=</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2018-09-20T22:13:07Z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2018-09-20T22:13:07Z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321</Value>
      <Value>63</Value>
      <Value>198</Value>
      <Value>93</Value>
      <Value>426</Value>
      <Value>3</Value>
      <Value>2</Value>
      <Value>1</Value>
    </TaxCatchAll>
    <OtraEntidadExterna xmlns="b875e23b-67d9-4b2e-bdec-edacbf90b326" xsi:nil="true"/>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CC-GLOBALEX</TermName>
          <TermId>1760a693-64b6-435a-b9c0-bfd39d8ab33f</TermId>
        </TermInfo>
        <TermInfo xmlns="http://schemas.microsoft.com/office/infopath/2007/PartnerControls">
          <TermName>CC-TELEDOLAR</TermName>
          <TermId>18c54c3c-ce77-4793-8833-aeb9f7764b37</TermId>
        </TermInfo>
      </Terms>
    </oe70cbf463ba4d19a6203d9e6cd457e4>
    <FechaEnvio xmlns="b875e23b-67d9-4b2e-bdec-edacbf90b326" xsi:nil="true"/>
    <InformativoResolutivo xmlns="b875e23b-67d9-4b2e-bdec-edacbf90b326">Informativo</InformativoResolutivo>
    <NoReferencia xmlns="b875e23b-67d9-4b2e-bdec-edacbf90b326">No corresponde a ningún entrante</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Cálculo del capital base casas de cambio.
Copiar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GER - Gerencia</TermName>
          <TermId>7f4773cf-2cb9-48b6-88d2-9e4750a72616</TermId>
        </TermInfo>
      </Term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Cálculo del capital base casas de cambio</Subject1>
    <Entrante_x0020_relacionado xmlns="b875e23b-67d9-4b2e-bdec-edacbf90b326">
      <Url xsi:nil="true"/>
      <Description xsi:nil="true"/>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347912D2-45B8-43E5-B860-A2F4ECC10231}"/>
</file>

<file path=customXml/itemProps5.xml><?xml version="1.0" encoding="utf-8"?>
<ds:datastoreItem xmlns:ds="http://schemas.openxmlformats.org/officeDocument/2006/customXml" ds:itemID="{83CD708B-5671-49F1-B72A-1F4B37FE0E0D}"/>
</file>

<file path=customXml/itemProps6.xml><?xml version="1.0" encoding="utf-8"?>
<ds:datastoreItem xmlns:ds="http://schemas.openxmlformats.org/officeDocument/2006/customXml" ds:itemID="{676E04FB-0A9E-476E-B70D-BC1A7F359F1F}"/>
</file>

<file path=docProps/app.xml><?xml version="1.0" encoding="utf-8"?>
<Properties xmlns="http://schemas.openxmlformats.org/officeDocument/2006/extended-properties" xmlns:vt="http://schemas.openxmlformats.org/officeDocument/2006/docPropsVTypes">
  <Template>plantilla-SGF-13-Normas.dotm</Template>
  <TotalTime>7</TotalTime>
  <Pages>2</Pages>
  <Words>443</Words>
  <Characters>2441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Arce Alpízar</dc:creator>
  <cp:lastModifiedBy>VARGAS LEAL MARIA GABRIELA</cp:lastModifiedBy>
  <cp:revision>4</cp:revision>
  <cp:lastPrinted>2015-07-30T22:36:00Z</cp:lastPrinted>
  <dcterms:created xsi:type="dcterms:W3CDTF">2018-09-19T17:34:00Z</dcterms:created>
  <dcterms:modified xsi:type="dcterms:W3CDTF">2018-09-20T17:03:00Z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93;#GER - Gerencia|7f4773cf-2cb9-48b6-88d2-9e4750a72616</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198;#CC-GLOBALEX|1760a693-64b6-435a-b9c0-bfd39d8ab33f;#321;#CC-TELEDOLAR|18c54c3c-ce77-4793-8833-aeb9f7764b37</vt:lpwstr>
  </property>
  <property fmtid="{D5CDD505-2E9C-101B-9397-08002B2CF9AE}" pid="12" name="Order">
    <vt:r8>22800</vt:r8>
  </property>
  <property fmtid="{D5CDD505-2E9C-101B-9397-08002B2CF9AE}" pid="13" name="Confidencialidad">
    <vt:lpwstr>Público|99c2402f-8ec3-4ca8-8024-be52e4e7f629</vt:lpwstr>
  </property>
  <property fmtid="{D5CDD505-2E9C-101B-9397-08002B2CF9AE}" pid="14" name="WorkflowChangePath">
    <vt:lpwstr>d6c6aed4-e342-4faf-a234-cd9a4f593e49,6;cb1954ac-0595-4038-a807-eb26625a3b7c,9;cb1954ac-0595-4038-a807-eb26625a3b7c,9;</vt:lpwstr>
  </property>
</Properties>
</file>